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01C" w:rsidRPr="00D877DD" w:rsidRDefault="00BB68EA" w:rsidP="00D877DD">
      <w:pPr>
        <w:ind w:firstLine="284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  <w:r w:rsidRPr="00D877DD"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  <w:t>До т</w:t>
      </w:r>
      <w:r w:rsidR="0044501C" w:rsidRPr="00D877DD"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  <w:t>очка</w:t>
      </w:r>
      <w:r w:rsidRPr="00D877DD"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  <w:t>та</w:t>
      </w:r>
      <w:r w:rsidR="0044501C" w:rsidRPr="00D877DD"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  <w:t xml:space="preserve"> на Грифит</w:t>
      </w:r>
      <w:r w:rsidR="00936A0C"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  <w:t>с</w:t>
      </w:r>
      <w:r w:rsidRPr="00D877DD"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  <w:t xml:space="preserve"> и нататък: маршрут за изследователи</w:t>
      </w:r>
    </w:p>
    <w:p w:rsidR="003C6833" w:rsidRPr="00D877DD" w:rsidRDefault="00BB68EA" w:rsidP="00D877DD">
      <w:pPr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be-BY"/>
        </w:rPr>
      </w:pPr>
      <w:r w:rsidRPr="00D877DD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Докладът представя динамична разработка </w:t>
      </w:r>
      <w:r w:rsidR="00601B4C" w:rsidRPr="00D877DD">
        <w:rPr>
          <w:rFonts w:ascii="Times New Roman" w:hAnsi="Times New Roman" w:cs="Times New Roman"/>
          <w:color w:val="000000"/>
          <w:sz w:val="24"/>
          <w:szCs w:val="24"/>
          <w:lang w:val="be-BY"/>
        </w:rPr>
        <w:t>по геометрия</w:t>
      </w:r>
      <w:r w:rsidR="003C6833" w:rsidRPr="00D877DD">
        <w:rPr>
          <w:rFonts w:ascii="Times New Roman" w:hAnsi="Times New Roman" w:cs="Times New Roman"/>
          <w:color w:val="000000"/>
          <w:sz w:val="24"/>
          <w:szCs w:val="24"/>
          <w:lang w:val="be-BY"/>
        </w:rPr>
        <w:t>, п</w:t>
      </w:r>
      <w:r w:rsidR="00601B4C" w:rsidRPr="00D877DD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редназначена  за работа с ученици от 9. и 10. клас с интерес към математиката. </w:t>
      </w:r>
    </w:p>
    <w:p w:rsidR="0044501C" w:rsidRPr="00D877DD" w:rsidRDefault="003C6833" w:rsidP="00D877DD">
      <w:pPr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be-BY"/>
        </w:rPr>
      </w:pPr>
      <w:r w:rsidRPr="00D877DD">
        <w:rPr>
          <w:rFonts w:ascii="Times New Roman" w:hAnsi="Times New Roman" w:cs="Times New Roman"/>
          <w:color w:val="000000"/>
          <w:sz w:val="24"/>
          <w:szCs w:val="24"/>
          <w:lang w:val="be-BY"/>
        </w:rPr>
        <w:t>Целта на разработката е не само да представи и онагледи геометричните факти, но да въвлече учениците в процеса на едно изследване</w:t>
      </w:r>
      <w:r w:rsidR="00E322A9" w:rsidRPr="00D877DD">
        <w:rPr>
          <w:rFonts w:ascii="Times New Roman" w:hAnsi="Times New Roman" w:cs="Times New Roman"/>
          <w:color w:val="000000"/>
          <w:sz w:val="24"/>
          <w:szCs w:val="24"/>
          <w:lang w:val="be-BY"/>
        </w:rPr>
        <w:t>, както и да ги мотивира да</w:t>
      </w:r>
      <w:r w:rsidRPr="00D877DD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формулират собствени хипотези и</w:t>
      </w:r>
      <w:r w:rsidR="00E322A9" w:rsidRPr="00D877DD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да</w:t>
      </w:r>
      <w:r w:rsidRPr="00D877DD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потърсят доказателства за тях.</w:t>
      </w:r>
      <w:r w:rsidR="00601B4C" w:rsidRPr="00D877DD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</w:t>
      </w:r>
    </w:p>
    <w:p w:rsidR="00D877DD" w:rsidRDefault="00D877DD" w:rsidP="00D877DD">
      <w:pPr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be-BY"/>
        </w:rPr>
      </w:pPr>
      <w:r w:rsidRPr="00D877DD">
        <w:rPr>
          <w:rFonts w:ascii="Times New Roman" w:hAnsi="Times New Roman" w:cs="Times New Roman"/>
          <w:color w:val="000000"/>
          <w:sz w:val="24"/>
          <w:szCs w:val="24"/>
          <w:lang w:val="be-BY"/>
        </w:rPr>
        <w:t>М</w:t>
      </w:r>
      <w:r w:rsidR="00E322A9" w:rsidRPr="00D877DD">
        <w:rPr>
          <w:rFonts w:ascii="Times New Roman" w:hAnsi="Times New Roman" w:cs="Times New Roman"/>
          <w:color w:val="000000"/>
          <w:sz w:val="24"/>
          <w:szCs w:val="24"/>
          <w:lang w:val="be-BY"/>
        </w:rPr>
        <w:t>аршрут</w:t>
      </w:r>
      <w:r w:rsidRPr="00D877DD">
        <w:rPr>
          <w:rFonts w:ascii="Times New Roman" w:hAnsi="Times New Roman" w:cs="Times New Roman"/>
          <w:color w:val="000000"/>
          <w:sz w:val="24"/>
          <w:szCs w:val="24"/>
          <w:lang w:val="be-BY"/>
        </w:rPr>
        <w:t>ът</w:t>
      </w:r>
      <w:r w:rsidR="00E322A9" w:rsidRPr="00D877DD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на предложеното геометрично пътешествие </w:t>
      </w:r>
      <w:r w:rsidRPr="00D877DD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се определя от три факта. </w:t>
      </w:r>
      <w:r w:rsidR="00E322A9" w:rsidRPr="00D877DD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</w:t>
      </w:r>
      <w:r w:rsidR="00D64ED8" w:rsidRPr="00D877DD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Тръгва се от </w:t>
      </w:r>
      <w:r w:rsidR="00E322A9" w:rsidRPr="00D877DD">
        <w:rPr>
          <w:rFonts w:ascii="Times New Roman" w:hAnsi="Times New Roman" w:cs="Times New Roman"/>
          <w:color w:val="000000"/>
          <w:sz w:val="24"/>
          <w:szCs w:val="24"/>
        </w:rPr>
        <w:t xml:space="preserve">правите на Симсън на две диаметрално противоположни точки от описаната окръжност </w:t>
      </w:r>
      <w:r w:rsidR="00E322A9" w:rsidRPr="00D877DD">
        <w:rPr>
          <w:rFonts w:ascii="Times New Roman" w:hAnsi="Times New Roman" w:cs="Times New Roman"/>
          <w:color w:val="000000"/>
          <w:sz w:val="24"/>
          <w:szCs w:val="24"/>
          <w:lang w:val="be-BY"/>
        </w:rPr>
        <w:t>на даден триъгълник</w:t>
      </w:r>
      <w:r w:rsidR="00D64ED8" w:rsidRPr="00D877DD">
        <w:rPr>
          <w:rFonts w:ascii="Times New Roman" w:hAnsi="Times New Roman" w:cs="Times New Roman"/>
          <w:color w:val="000000"/>
          <w:sz w:val="24"/>
          <w:szCs w:val="24"/>
          <w:lang w:val="be-BY"/>
        </w:rPr>
        <w:t>, които се пресичат върху</w:t>
      </w:r>
      <w:r w:rsidR="00E322A9" w:rsidRPr="00D877DD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</w:t>
      </w:r>
      <w:r w:rsidR="00E322A9" w:rsidRPr="00D877DD">
        <w:rPr>
          <w:rFonts w:ascii="Times New Roman" w:hAnsi="Times New Roman" w:cs="Times New Roman"/>
          <w:color w:val="000000"/>
          <w:sz w:val="24"/>
          <w:szCs w:val="24"/>
        </w:rPr>
        <w:t>окръжност</w:t>
      </w:r>
      <w:r w:rsidR="00D64ED8" w:rsidRPr="00D877DD">
        <w:rPr>
          <w:rFonts w:ascii="Times New Roman" w:hAnsi="Times New Roman" w:cs="Times New Roman"/>
          <w:color w:val="000000"/>
          <w:sz w:val="24"/>
          <w:szCs w:val="24"/>
          <w:lang w:val="be-BY"/>
        </w:rPr>
        <w:t>та</w:t>
      </w:r>
      <w:r w:rsidR="00E322A9" w:rsidRPr="00D877DD">
        <w:rPr>
          <w:rFonts w:ascii="Times New Roman" w:hAnsi="Times New Roman" w:cs="Times New Roman"/>
          <w:color w:val="000000"/>
          <w:sz w:val="24"/>
          <w:szCs w:val="24"/>
        </w:rPr>
        <w:t xml:space="preserve"> на деветте точки</w:t>
      </w:r>
      <w:r w:rsidR="00E322A9" w:rsidRPr="00D877DD">
        <w:rPr>
          <w:rFonts w:ascii="Times New Roman" w:hAnsi="Times New Roman" w:cs="Times New Roman"/>
          <w:color w:val="000000"/>
          <w:sz w:val="24"/>
          <w:szCs w:val="24"/>
          <w:lang w:val="be-BY"/>
        </w:rPr>
        <w:t>.</w:t>
      </w:r>
      <w:r w:rsidR="00D64ED8" w:rsidRPr="00D877DD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Следващата забележителност по пътя е точката на Грифит</w:t>
      </w:r>
      <w:r w:rsidR="00936A0C">
        <w:rPr>
          <w:rFonts w:ascii="Times New Roman" w:hAnsi="Times New Roman" w:cs="Times New Roman"/>
          <w:color w:val="000000"/>
          <w:sz w:val="24"/>
          <w:szCs w:val="24"/>
          <w:lang w:val="be-BY"/>
        </w:rPr>
        <w:t>с</w:t>
      </w:r>
      <w:r w:rsidR="00D64ED8" w:rsidRPr="00D877DD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: пресечна точка на </w:t>
      </w:r>
      <w:r w:rsidR="00D64ED8" w:rsidRPr="00D877DD">
        <w:rPr>
          <w:rFonts w:ascii="Times New Roman" w:hAnsi="Times New Roman" w:cs="Times New Roman"/>
          <w:color w:val="000000"/>
          <w:sz w:val="24"/>
          <w:szCs w:val="24"/>
        </w:rPr>
        <w:t xml:space="preserve">описаните </w:t>
      </w:r>
      <w:r w:rsidR="00D64ED8" w:rsidRPr="00D877DD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окръжности </w:t>
      </w:r>
      <w:r w:rsidR="00D64ED8" w:rsidRPr="00D877DD">
        <w:rPr>
          <w:rFonts w:ascii="Times New Roman" w:hAnsi="Times New Roman" w:cs="Times New Roman"/>
          <w:color w:val="000000"/>
          <w:sz w:val="24"/>
          <w:szCs w:val="24"/>
        </w:rPr>
        <w:t>около педалните триъгълници</w:t>
      </w:r>
      <w:r w:rsidR="00D64ED8" w:rsidRPr="00D877DD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на точките от</w:t>
      </w:r>
      <w:r w:rsidR="00D64ED8" w:rsidRPr="00D877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64ED8" w:rsidRPr="00D877DD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фиксирана </w:t>
      </w:r>
      <w:r w:rsidR="00D64ED8" w:rsidRPr="00D877DD">
        <w:rPr>
          <w:rFonts w:ascii="Times New Roman" w:hAnsi="Times New Roman" w:cs="Times New Roman"/>
          <w:color w:val="000000"/>
          <w:sz w:val="24"/>
          <w:szCs w:val="24"/>
        </w:rPr>
        <w:t>права през центъра</w:t>
      </w:r>
      <w:r w:rsidR="00D64ED8" w:rsidRPr="00D877DD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на описаната окръжност на дадения триъгълник. В края на маршрута е твърдението, че четирите точки на Грифит</w:t>
      </w:r>
      <w:r w:rsidR="00936A0C">
        <w:rPr>
          <w:rFonts w:ascii="Times New Roman" w:hAnsi="Times New Roman" w:cs="Times New Roman"/>
          <w:color w:val="000000"/>
          <w:sz w:val="24"/>
          <w:szCs w:val="24"/>
          <w:lang w:val="be-BY"/>
        </w:rPr>
        <w:t>с</w:t>
      </w:r>
      <w:r w:rsidR="00D64ED8" w:rsidRPr="00D877DD">
        <w:rPr>
          <w:rFonts w:ascii="Times New Roman" w:hAnsi="Times New Roman" w:cs="Times New Roman"/>
          <w:color w:val="000000"/>
          <w:sz w:val="24"/>
          <w:szCs w:val="24"/>
          <w:lang w:val="be-BY"/>
        </w:rPr>
        <w:t>, определени от вписан четириъгълник и фиксирана права през центъра на описан</w:t>
      </w:r>
      <w:r w:rsidR="005A1236">
        <w:rPr>
          <w:rFonts w:ascii="Times New Roman" w:hAnsi="Times New Roman" w:cs="Times New Roman"/>
          <w:color w:val="000000"/>
          <w:sz w:val="24"/>
          <w:szCs w:val="24"/>
          <w:lang w:val="en-US"/>
        </w:rPr>
        <w:t>a</w:t>
      </w:r>
      <w:r w:rsidR="00D64ED8" w:rsidRPr="00D877DD">
        <w:rPr>
          <w:rFonts w:ascii="Times New Roman" w:hAnsi="Times New Roman" w:cs="Times New Roman"/>
          <w:color w:val="000000"/>
          <w:sz w:val="24"/>
          <w:szCs w:val="24"/>
          <w:lang w:val="be-BY"/>
        </w:rPr>
        <w:t>та окръжност, са колинеарни. Оттук</w:t>
      </w:r>
      <w:r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, с помощта на </w:t>
      </w:r>
      <w:r w:rsidRPr="00D877DD">
        <w:rPr>
          <w:rFonts w:ascii="Times New Roman" w:hAnsi="Times New Roman" w:cs="Times New Roman"/>
          <w:color w:val="000000"/>
          <w:sz w:val="24"/>
          <w:szCs w:val="24"/>
          <w:lang w:val="be-BY"/>
        </w:rPr>
        <w:t>динамичн</w:t>
      </w:r>
      <w:r>
        <w:rPr>
          <w:rFonts w:ascii="Times New Roman" w:hAnsi="Times New Roman" w:cs="Times New Roman"/>
          <w:color w:val="000000"/>
          <w:sz w:val="24"/>
          <w:szCs w:val="24"/>
          <w:lang w:val="be-BY"/>
        </w:rPr>
        <w:t>ия</w:t>
      </w:r>
      <w:r w:rsidRPr="00D877DD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софтуер</w:t>
      </w:r>
      <w:r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, се </w:t>
      </w:r>
      <w:r w:rsidR="00D64ED8" w:rsidRPr="00D877DD">
        <w:rPr>
          <w:rFonts w:ascii="Times New Roman" w:hAnsi="Times New Roman" w:cs="Times New Roman"/>
          <w:color w:val="000000"/>
          <w:sz w:val="24"/>
          <w:szCs w:val="24"/>
          <w:lang w:val="be-BY"/>
        </w:rPr>
        <w:t>вижда</w:t>
      </w:r>
      <w:r w:rsidRPr="00D877DD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т възможни пътища за </w:t>
      </w:r>
      <w:r>
        <w:rPr>
          <w:rFonts w:ascii="Times New Roman" w:hAnsi="Times New Roman" w:cs="Times New Roman"/>
          <w:color w:val="000000"/>
          <w:sz w:val="24"/>
          <w:szCs w:val="24"/>
          <w:lang w:val="be-BY"/>
        </w:rPr>
        <w:t>по-нататъшно изследване.</w:t>
      </w:r>
    </w:p>
    <w:p w:rsidR="00601B4C" w:rsidRPr="00D877DD" w:rsidRDefault="00601B4C" w:rsidP="00D877DD">
      <w:pPr>
        <w:ind w:firstLine="284"/>
        <w:rPr>
          <w:rFonts w:ascii="Times New Roman" w:hAnsi="Times New Roman" w:cs="Times New Roman"/>
          <w:color w:val="000000"/>
          <w:sz w:val="24"/>
          <w:szCs w:val="24"/>
          <w:lang w:val="be-BY"/>
        </w:rPr>
      </w:pPr>
      <w:r w:rsidRPr="00D877DD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Работният лист е разработен с </w:t>
      </w:r>
      <w:r w:rsidRPr="00D877DD">
        <w:rPr>
          <w:rFonts w:ascii="Times New Roman" w:hAnsi="Times New Roman" w:cs="Times New Roman"/>
          <w:color w:val="000000"/>
          <w:sz w:val="24"/>
          <w:szCs w:val="24"/>
          <w:lang w:val="en-US"/>
        </w:rPr>
        <w:t>GeoGebra.</w:t>
      </w:r>
    </w:p>
    <w:sectPr w:rsidR="00601B4C" w:rsidRPr="00D877DD" w:rsidSect="00A603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4501C"/>
    <w:rsid w:val="003C6833"/>
    <w:rsid w:val="0044501C"/>
    <w:rsid w:val="004E0F4E"/>
    <w:rsid w:val="005A1236"/>
    <w:rsid w:val="00601B4C"/>
    <w:rsid w:val="00936A0C"/>
    <w:rsid w:val="00A60337"/>
    <w:rsid w:val="00BB68EA"/>
    <w:rsid w:val="00D072A5"/>
    <w:rsid w:val="00D64ED8"/>
    <w:rsid w:val="00D877DD"/>
    <w:rsid w:val="00E322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3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44501C"/>
  </w:style>
  <w:style w:type="character" w:styleId="Emphasis">
    <w:name w:val="Emphasis"/>
    <w:basedOn w:val="DefaultParagraphFont"/>
    <w:uiPriority w:val="20"/>
    <w:qFormat/>
    <w:rsid w:val="0044501C"/>
    <w:rPr>
      <w:i/>
      <w:iCs/>
    </w:rPr>
  </w:style>
  <w:style w:type="character" w:customStyle="1" w:styleId="mi">
    <w:name w:val="mi"/>
    <w:basedOn w:val="DefaultParagraphFont"/>
    <w:rsid w:val="0044501C"/>
  </w:style>
  <w:style w:type="character" w:styleId="Strong">
    <w:name w:val="Strong"/>
    <w:basedOn w:val="DefaultParagraphFont"/>
    <w:uiPriority w:val="22"/>
    <w:qFormat/>
    <w:rsid w:val="0044501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2014-02-07T08:04:00Z</dcterms:created>
  <dcterms:modified xsi:type="dcterms:W3CDTF">2014-02-12T05:24:00Z</dcterms:modified>
</cp:coreProperties>
</file>